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D3AE7">
              <w:rPr>
                <w:rFonts w:asciiTheme="majorHAnsi" w:hAnsiTheme="majorHAnsi" w:cs="Arial"/>
                <w:b/>
                <w:sz w:val="18"/>
                <w:szCs w:val="18"/>
              </w:rPr>
              <w:t>Upravljanje kvalitetom u fizioterapiji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D3AE7">
              <w:rPr>
                <w:rFonts w:asciiTheme="majorHAnsi" w:hAnsiTheme="majorHAnsi" w:cs="Arial"/>
                <w:b/>
                <w:sz w:val="18"/>
                <w:szCs w:val="18"/>
              </w:rPr>
              <w:t>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4D3AE7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="0046338E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="0046338E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separate"/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D3AE7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D3AE7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D3AE7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D3AE7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4D3AE7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4D3AE7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4D3AE7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4D3AE7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>Medicinski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 xml:space="preserve">Odsjek zdravstvenih studija/ Studijski program </w:t>
            </w:r>
            <w:r w:rsidR="004D3AE7">
              <w:rPr>
                <w:rFonts w:asciiTheme="majorHAnsi" w:hAnsiTheme="majorHAnsi" w:cs="Arial"/>
                <w:b/>
                <w:sz w:val="18"/>
                <w:szCs w:val="18"/>
              </w:rPr>
              <w:t>fizioterapije/ II ciklus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D3AE7">
              <w:rPr>
                <w:rFonts w:asciiTheme="majorHAnsi" w:hAnsiTheme="majorHAnsi" w:cs="Arial"/>
                <w:b/>
                <w:sz w:val="18"/>
                <w:szCs w:val="18"/>
              </w:rPr>
              <w:t>Prof. dr. sc Maida Zonić-Imamović, vanredni profesor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4D3AE7" w:rsidRPr="004D3AE7" w:rsidRDefault="00D05D23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D3AE7" w:rsidRPr="004D3AE7">
              <w:rPr>
                <w:rFonts w:asciiTheme="majorHAnsi" w:hAnsiTheme="majorHAnsi" w:cs="Arial"/>
                <w:b/>
                <w:sz w:val="18"/>
                <w:szCs w:val="18"/>
              </w:rPr>
              <w:t>Osposobljavanje za uvo</w:t>
            </w:r>
            <w:r w:rsidR="004D3AE7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4D3AE7" w:rsidRPr="004D3AE7">
              <w:rPr>
                <w:rFonts w:asciiTheme="majorHAnsi" w:hAnsiTheme="majorHAnsi" w:cs="Arial"/>
                <w:b/>
                <w:sz w:val="18"/>
                <w:szCs w:val="18"/>
              </w:rPr>
              <w:t>enje sistema kvaliteta u fizioterapiji. Upoznavanje sa glavnim zdravstvenim problemima na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globalnom i lokalnom nivou, i osposobljavanje za prepoznavanje rizika za zdravlje. Usvajanje teorijskih znanja i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vještina važnih za uspostavljanje sistema upravljanja kvalitetom u fizioterapiji. Sticanje iskustva u primjeni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>kvalitativnih i kvantitativnih metoda za promociju i menadžment promjena u kulturi kvaliteta i sigurnosti pacijenata.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Osposobljavanje za identifikaciju i optimiziranje klju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nih procesa upravljanja kvalitetom, te za razumjevanje razlika u</w:t>
            </w:r>
          </w:p>
          <w:p w:rsidR="00CB72ED" w:rsidRPr="00B96B4F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metodama za unaprje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nja.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4D3AE7" w:rsidRPr="004D3AE7" w:rsidRDefault="00D05D23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D3AE7" w:rsidRPr="004D3AE7">
              <w:rPr>
                <w:rFonts w:asciiTheme="majorHAnsi" w:hAnsiTheme="majorHAnsi" w:cs="Arial"/>
                <w:b/>
                <w:sz w:val="18"/>
                <w:szCs w:val="18"/>
              </w:rPr>
              <w:t>Planiranje uspostave sistema kvaliteta fizioterapijskih usluga.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Izrada dokumenata kvaliteta.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Certifikacija, licenciranje, akreditacija.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Uspostavljanje interne organizacije sistema.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Pripremanje protokola i smjernica fizioterapije.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Ustanovljavanje standardne procedure u fizioterapijskoj praksi.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Mjerenje i evaluacija indikatora kvaliteta u fizioterapiji.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Evaluacija eti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kih problema.</w:t>
            </w:r>
          </w:p>
          <w:p w:rsidR="00CB72ED" w:rsidRPr="00B96B4F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Samoprocjena fizikalne terapije.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4D3AE7" w:rsidRPr="004D3AE7" w:rsidRDefault="00D05D23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D3AE7" w:rsidRPr="004D3AE7">
              <w:rPr>
                <w:rFonts w:asciiTheme="majorHAnsi" w:hAnsiTheme="majorHAnsi" w:cs="Arial"/>
                <w:b/>
                <w:sz w:val="18"/>
                <w:szCs w:val="18"/>
              </w:rPr>
              <w:t>Definicija kvaliteta zdravstvenog sistema i zdravstvenih usluga. Globalne, nacionalne, regionalne i institucionalne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strategije za poboljšanje kvaliteta u zdravstvu. 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ka praksa: varijacije, smjernice i protokoli u fizioterapiji.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Metodologija izrade, implementacije i evaluacije 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kih smjernica, 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kih puteva i protokola. Zahtjevi kvaliteta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dobre stru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ne prakse u fizioterapiji na svim nivoima zdravstvenog sistema. Certifikacija, licenciranje, akreditacija.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Definicija standarda kvaliteta u zdravstvu. Implementacija sistema kvaliteta u bolni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koj i izvanbolni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koj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fizioterapijskoj praksi. Interna organizacija sistema: prava i odgovornost osoblja, i voditelja fizioterapijskih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procedura. Komunikacijske vještine. Standardi kvaliteta u fizijatriji i rehabilitaciji. Protokoli i smjernice fizioterapije.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Indikatori kvaliteta fizioterapije. Fizioterapeutska dokumentacija. Standardne procedure i protokoli. Indikatori</w:t>
            </w:r>
          </w:p>
          <w:p w:rsidR="00CB72ED" w:rsidRPr="00B96B4F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kvaliteta. Eti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ki problemi. Samoprocjena fizikalne terapije.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4D3AE7" w:rsidRPr="004D3AE7" w:rsidRDefault="00D05D23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D3AE7" w:rsidRPr="004D3AE7">
              <w:rPr>
                <w:rFonts w:asciiTheme="majorHAnsi" w:hAnsiTheme="majorHAnsi" w:cs="Arial"/>
                <w:b/>
                <w:sz w:val="18"/>
                <w:szCs w:val="18"/>
              </w:rPr>
              <w:t>Predavanja uz upotrebu multimedijalnih sredstava, tehnika aktivnog u</w:t>
            </w:r>
            <w:r w:rsidR="004D3AE7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4D3AE7" w:rsidRPr="004D3AE7">
              <w:rPr>
                <w:rFonts w:asciiTheme="majorHAnsi" w:hAnsiTheme="majorHAnsi" w:cs="Arial"/>
                <w:b/>
                <w:sz w:val="18"/>
                <w:szCs w:val="18"/>
              </w:rPr>
              <w:t>enja i uz aktivno u</w:t>
            </w:r>
            <w:r w:rsidR="004D3AE7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4D3AE7" w:rsidRPr="004D3AE7">
              <w:rPr>
                <w:rFonts w:asciiTheme="majorHAnsi" w:hAnsiTheme="majorHAnsi" w:cs="Arial"/>
                <w:b/>
                <w:sz w:val="18"/>
                <w:szCs w:val="18"/>
              </w:rPr>
              <w:t>eš</w:t>
            </w:r>
            <w:r w:rsidR="004D3AE7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4D3AE7" w:rsidRPr="004D3AE7">
              <w:rPr>
                <w:rFonts w:asciiTheme="majorHAnsi" w:hAnsiTheme="majorHAnsi" w:cs="Arial"/>
                <w:b/>
                <w:sz w:val="18"/>
                <w:szCs w:val="18"/>
              </w:rPr>
              <w:t>e i diskusije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studenata;</w:t>
            </w:r>
          </w:p>
          <w:p w:rsidR="00CB72ED" w:rsidRPr="00B96B4F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- Priprema i izlaganje grupnih i individualnih seminarskih radova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4D3AE7" w:rsidRPr="004D3AE7" w:rsidRDefault="00D05D23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D3AE7" w:rsidRPr="004D3AE7">
              <w:rPr>
                <w:rFonts w:asciiTheme="majorHAnsi" w:hAnsiTheme="majorHAnsi" w:cs="Arial"/>
                <w:b/>
                <w:sz w:val="18"/>
                <w:szCs w:val="18"/>
              </w:rPr>
              <w:t>Nakon polovine semestra studenti pismeno polažu test (prvi međuispit) koji obuhvata do tada obrađenu tematiku.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Test se sastoji od zadataka višestrukog izbora, zadataka jednostavnog dosjećanja ili esejskih zadataka. Svaki tačan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odgovor boduje se sa 1 bodom, odnosno, student na prvom međuispitu može ostvariti maksimalno 15 bodova. Nakon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završetka semestra studenti pismeno polažu test (drugi međuispit) koji obuhvata obrađenu tematiku iz drugog dijela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semestra. Test se sastoji od zadataka višestrukog izbora, zadataka jednostavnog dosjećanja ili esejskih zadataka. Svaki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tačan odgovor boduje se sa 1 bodom, odnosno, student na drugom međuispitu može ostvariti maksimalno 15 bodova.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Oba testa polažu svi studenti na predmetu istovremeno čime je postignuta ujednačenost nivoa znanja koje se testira,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kao i uslovi pod kojima student polaže ispit. U sklopu predispitnih obaveza studenti su dužni izraditi individualni ili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grupni seminarski rad koji će obuhvatiti određenu tematiku iz sadržaja nastavnog predmeta. Seminarski rad se u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pisanoj formi predaje predmetnom nastavniku na pregled i ocjenu, a zatim se prezentira usmeno. U izradi i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prezentaciji grupnog seminarskog rada učestvuju svi studenti grupe, čije učešće se valorizira pojedinačno. Za urađeni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i prezentirani seminarski rad student može ostvariti od 0 do 10 bodova. Također, za kontinuiranu aktivnost na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predavanjima u toku cijelog semestra student može ostvariti od 0 do 5 bodova.</w:t>
            </w:r>
            <w:r w:rsidR="00DF548F">
              <w:rPr>
                <w:rFonts w:asciiTheme="majorHAnsi" w:hAnsiTheme="majorHAnsi" w:cs="Arial"/>
                <w:b/>
                <w:sz w:val="18"/>
                <w:szCs w:val="18"/>
              </w:rPr>
              <w:t xml:space="preserve"> Prisustvo na nastavi 5 bodova.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Završni ispit je usmeni. Pravo izlaska na završni ispit imaju studenti koji su položili testove.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Na usmenom ispitu student odgovara na tri izvučena pitanja iz programa nastavnog predmeta obrađenog na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predavanjima. Usmeni ispit se može položiti ukoliko student odgovori na sva tri pitanja. Maksimalan broj bodova koji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student može ostvariti na usmenom ispitu je 50.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Provjere na svim oblicima znanja priznaju se kao kumulativni ispit ukoliko je postignuti rezultat pozitivan nakon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svake pojedinačne provjere i iznosi najmanje 50% ukupno predvi</w:t>
            </w:r>
            <w:r w:rsidR="00717257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enog i/ili traženog znanja i vještina.</w:t>
            </w:r>
          </w:p>
          <w:p w:rsidR="00CB72ED" w:rsidRPr="00B96B4F" w:rsidRDefault="004D3AE7" w:rsidP="0071725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Da bi student položio predmet mora ostvariti minimalno 55 kumulativnih bodova</w:t>
            </w:r>
            <w:r w:rsidR="00717257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>B</w:t>
            </w:r>
            <w:r w:rsidR="007730A5" w:rsidRPr="007730A5">
              <w:rPr>
                <w:rFonts w:asciiTheme="majorHAnsi" w:hAnsiTheme="majorHAnsi" w:cs="Arial"/>
                <w:b/>
                <w:sz w:val="18"/>
                <w:szCs w:val="18"/>
              </w:rPr>
              <w:t>roj bodova i konačna ocjena provjere znanja i vještina studenta</w:t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 xml:space="preserve"> je kako slijedi: </w:t>
            </w:r>
            <w:r w:rsidR="007730A5" w:rsidRPr="007730A5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7730A5" w:rsidRPr="007730A5">
              <w:rPr>
                <w:rFonts w:asciiTheme="majorHAnsi" w:hAnsiTheme="majorHAnsi" w:cs="Arial"/>
                <w:b/>
                <w:sz w:val="18"/>
                <w:szCs w:val="18"/>
              </w:rPr>
              <w:t xml:space="preserve">-64 bod= 6 (šest); 65-74 bod= 7 (sedam); 75-84 bod= 8 (osam); 85-94 bod= 9 (devet); 95-100 bod= 10 (deset)      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4D3AE7" w:rsidRPr="004D3AE7" w:rsidRDefault="00D05D23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D3AE7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="004D3AE7" w:rsidRPr="004D3AE7">
              <w:rPr>
                <w:rFonts w:asciiTheme="majorHAnsi" w:hAnsiTheme="majorHAnsi" w:cs="Arial"/>
                <w:b/>
                <w:sz w:val="18"/>
                <w:szCs w:val="18"/>
              </w:rPr>
              <w:t>. Kapetanovi</w:t>
            </w:r>
            <w:r w:rsidR="004D3AE7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4D3AE7" w:rsidRPr="004D3AE7">
              <w:rPr>
                <w:rFonts w:asciiTheme="majorHAnsi" w:hAnsiTheme="majorHAnsi" w:cs="Arial"/>
                <w:b/>
                <w:sz w:val="18"/>
                <w:szCs w:val="18"/>
              </w:rPr>
              <w:t xml:space="preserve"> H. i Pecar. Dž. Vodi</w:t>
            </w:r>
            <w:r w:rsidR="004D3AE7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4D3AE7" w:rsidRPr="004D3AE7">
              <w:rPr>
                <w:rFonts w:asciiTheme="majorHAnsi" w:hAnsiTheme="majorHAnsi" w:cs="Arial"/>
                <w:b/>
                <w:sz w:val="18"/>
                <w:szCs w:val="18"/>
              </w:rPr>
              <w:t xml:space="preserve"> u rehabilitaciju. I.P. “Svjetlost”. Sarajevo, 2005.</w:t>
            </w:r>
          </w:p>
          <w:p w:rsidR="004D3AE7" w:rsidRPr="004D3AE7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2. Avdi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 xml:space="preserve"> D. Pad u tre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oj životnoj dobi. Sarajevo: OKO, 2004</w:t>
            </w:r>
          </w:p>
          <w:p w:rsidR="00CB72ED" w:rsidRPr="00B96B4F" w:rsidRDefault="004D3AE7" w:rsidP="004D3A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3AE7">
              <w:rPr>
                <w:rFonts w:asciiTheme="majorHAnsi" w:hAnsiTheme="majorHAnsi" w:cs="Arial"/>
                <w:b/>
                <w:sz w:val="18"/>
                <w:szCs w:val="18"/>
              </w:rPr>
              <w:t>3. Mladina N. i sar. Zaštita razvojnog doba. Bosanska rijeŁ. Tuzla, 2004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D3AE7">
              <w:rPr>
                <w:rFonts w:asciiTheme="majorHAnsi" w:hAnsiTheme="majorHAnsi" w:cs="Arial"/>
                <w:b/>
                <w:sz w:val="18"/>
                <w:szCs w:val="18"/>
              </w:rPr>
              <w:t>202</w:t>
            </w:r>
            <w:r w:rsidR="00DF548F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="004D3AE7">
              <w:rPr>
                <w:rFonts w:asciiTheme="majorHAnsi" w:hAnsiTheme="majorHAnsi" w:cs="Arial"/>
                <w:b/>
                <w:sz w:val="18"/>
                <w:szCs w:val="18"/>
              </w:rPr>
              <w:t>./202</w:t>
            </w:r>
            <w:r w:rsidR="00DF548F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="004D3AE7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8388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B8388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8388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8388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8388F" w:rsidRPr="00B8388F">
              <w:rPr>
                <w:rFonts w:asciiTheme="majorHAnsi" w:hAnsiTheme="majorHAnsi" w:cs="Arial"/>
                <w:b/>
                <w:w w:val="96"/>
                <w:sz w:val="18"/>
                <w:szCs w:val="18"/>
              </w:rPr>
              <w:t>22.12.2025. god</w:t>
            </w:r>
            <w:r w:rsidR="00B8388F" w:rsidRPr="00B8388F">
              <w:rPr>
                <w:rFonts w:asciiTheme="majorHAnsi" w:hAnsiTheme="majorHAnsi" w:cs="Arial"/>
                <w:b/>
                <w:spacing w:val="4"/>
                <w:w w:val="96"/>
                <w:sz w:val="18"/>
                <w:szCs w:val="18"/>
              </w:rPr>
              <w:t>.</w:t>
            </w:r>
            <w:bookmarkStart w:id="3" w:name="_GoBack"/>
            <w:bookmarkEnd w:id="3"/>
            <w:r w:rsidRPr="00B8388F">
              <w:rPr>
                <w:rFonts w:asciiTheme="majorHAnsi" w:hAnsiTheme="majorHAnsi" w:cs="Arial"/>
                <w:b/>
                <w:spacing w:val="4"/>
                <w:w w:val="96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8"/>
      <w:footerReference w:type="default" r:id="rId9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338E" w:rsidRDefault="0046338E">
      <w:pPr>
        <w:spacing w:line="240" w:lineRule="auto"/>
      </w:pPr>
      <w:r>
        <w:separator/>
      </w:r>
    </w:p>
  </w:endnote>
  <w:endnote w:type="continuationSeparator" w:id="0">
    <w:p w:rsidR="0046338E" w:rsidRDefault="004633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65"/>
      <w:gridCol w:w="1159"/>
      <w:gridCol w:w="2317"/>
      <w:gridCol w:w="1157"/>
      <w:gridCol w:w="2124"/>
      <w:gridCol w:w="1157"/>
      <w:gridCol w:w="883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B8388F">
            <w:rPr>
              <w:rFonts w:ascii="Cambria" w:hAnsi="Cambria" w:cs="Calibri"/>
              <w:noProof/>
              <w:sz w:val="16"/>
              <w:szCs w:val="16"/>
            </w:rPr>
            <w:t>24.12.2025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5E1352">
            <w:rPr>
              <w:rFonts w:ascii="Cambria" w:hAnsi="Cambria" w:cs="Calibri"/>
              <w:noProof/>
              <w:sz w:val="16"/>
              <w:szCs w:val="16"/>
            </w:rPr>
            <w:t>1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5E1352">
            <w:rPr>
              <w:rFonts w:ascii="Cambria" w:hAnsi="Cambria" w:cs="Calibri"/>
              <w:noProof/>
              <w:sz w:val="16"/>
              <w:szCs w:val="16"/>
            </w:rPr>
            <w:t>1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338E" w:rsidRDefault="0046338E">
      <w:pPr>
        <w:spacing w:after="0"/>
      </w:pPr>
      <w:r>
        <w:separator/>
      </w:r>
    </w:p>
  </w:footnote>
  <w:footnote w:type="continuationSeparator" w:id="0">
    <w:p w:rsidR="0046338E" w:rsidRDefault="0046338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2235"/>
    <w:rsid w:val="001947D2"/>
    <w:rsid w:val="00194AB4"/>
    <w:rsid w:val="001A6ADE"/>
    <w:rsid w:val="001A7C91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38E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3AE7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352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17257"/>
    <w:rsid w:val="00724077"/>
    <w:rsid w:val="00726A6B"/>
    <w:rsid w:val="00732054"/>
    <w:rsid w:val="007322C4"/>
    <w:rsid w:val="00734028"/>
    <w:rsid w:val="00736FAD"/>
    <w:rsid w:val="00740742"/>
    <w:rsid w:val="00750AEB"/>
    <w:rsid w:val="00751605"/>
    <w:rsid w:val="00762431"/>
    <w:rsid w:val="0076665F"/>
    <w:rsid w:val="00770212"/>
    <w:rsid w:val="007730A5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2FB0"/>
    <w:rsid w:val="00AA43FB"/>
    <w:rsid w:val="00AA4DC6"/>
    <w:rsid w:val="00AB303C"/>
    <w:rsid w:val="00AC2059"/>
    <w:rsid w:val="00AC48D4"/>
    <w:rsid w:val="00AC5C1E"/>
    <w:rsid w:val="00AD09F4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1E76"/>
    <w:rsid w:val="00B055AB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388F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6B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609AB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548F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0183A5-E56E-45D1-9781-6382C8DD7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/>
    <w:lsdException w:name="annotation text" w:locked="1" w:semiHidden="1" w:uiPriority="0"/>
    <w:lsdException w:name="header" w:locked="1" w:unhideWhenUsed="1"/>
    <w:lsdException w:name="footer" w:locked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/>
    <w:lsdException w:name="annotation reference" w:locked="1" w:semiHidden="1" w:uiPriority="0"/>
    <w:lsdException w:name="line number" w:locked="1" w:semiHidden="1" w:unhideWhenUsed="1"/>
    <w:lsdException w:name="page number" w:locked="1" w:uiPriority="0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0CA60-BC7E-4C2E-8B1A-185944EF1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Doc. dr. med. sc Emin Grbić</cp:lastModifiedBy>
  <cp:revision>6</cp:revision>
  <cp:lastPrinted>2024-03-19T08:24:00Z</cp:lastPrinted>
  <dcterms:created xsi:type="dcterms:W3CDTF">2025-12-01T17:04:00Z</dcterms:created>
  <dcterms:modified xsi:type="dcterms:W3CDTF">2025-12-24T08:56:00Z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